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6A04" w:rsidTr="00F56A04">
        <w:tc>
          <w:tcPr>
            <w:tcW w:w="9016" w:type="dxa"/>
            <w:shd w:val="clear" w:color="auto" w:fill="E7E6E6" w:themeFill="background2"/>
          </w:tcPr>
          <w:p w:rsidR="00F56A04" w:rsidRPr="001852FD" w:rsidRDefault="00F56A04" w:rsidP="00F56A04">
            <w:pPr>
              <w:jc w:val="center"/>
              <w:rPr>
                <w:b/>
                <w:sz w:val="28"/>
                <w:szCs w:val="28"/>
              </w:rPr>
            </w:pPr>
            <w:r w:rsidRPr="001852FD">
              <w:rPr>
                <w:b/>
                <w:sz w:val="28"/>
                <w:szCs w:val="28"/>
              </w:rPr>
              <w:t>ALDCS: Sector-led Improvement: Improvement Plan 2018</w:t>
            </w:r>
          </w:p>
          <w:p w:rsidR="00F56A04" w:rsidRDefault="00F56A04" w:rsidP="00F56A04">
            <w:pPr>
              <w:rPr>
                <w:b/>
                <w:sz w:val="24"/>
              </w:rPr>
            </w:pPr>
          </w:p>
          <w:p w:rsidR="00F56A04" w:rsidRDefault="00F56A04" w:rsidP="00F56A04">
            <w:pPr>
              <w:jc w:val="center"/>
              <w:rPr>
                <w:b/>
                <w:sz w:val="24"/>
              </w:rPr>
            </w:pPr>
            <w:r w:rsidRPr="001852FD">
              <w:rPr>
                <w:b/>
                <w:sz w:val="28"/>
                <w:szCs w:val="28"/>
              </w:rPr>
              <w:t>Theme 3: Workforce – Recruitment and Retention</w:t>
            </w:r>
          </w:p>
        </w:tc>
      </w:tr>
    </w:tbl>
    <w:p w:rsidR="006169DF" w:rsidRDefault="006169DF" w:rsidP="008F00A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6A04" w:rsidTr="00F56A04">
        <w:tc>
          <w:tcPr>
            <w:tcW w:w="9016" w:type="dxa"/>
            <w:shd w:val="clear" w:color="auto" w:fill="E7E6E6" w:themeFill="background2"/>
          </w:tcPr>
          <w:p w:rsidR="00F56A04" w:rsidRPr="00F56A04" w:rsidRDefault="00F56A04" w:rsidP="00F56A04">
            <w:pPr>
              <w:pStyle w:val="ListParagraph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F56A04">
              <w:rPr>
                <w:b/>
                <w:sz w:val="28"/>
                <w:szCs w:val="28"/>
              </w:rPr>
              <w:t>Introduction - ALDCS Sector-Led Improvement:</w:t>
            </w:r>
          </w:p>
          <w:p w:rsidR="00F56A04" w:rsidRDefault="00F56A04" w:rsidP="00197501">
            <w:pPr>
              <w:rPr>
                <w:b/>
                <w:sz w:val="24"/>
              </w:rPr>
            </w:pPr>
          </w:p>
        </w:tc>
      </w:tr>
      <w:tr w:rsidR="00F56A04" w:rsidTr="00F56A04">
        <w:tc>
          <w:tcPr>
            <w:tcW w:w="9016" w:type="dxa"/>
          </w:tcPr>
          <w:p w:rsidR="00F56A04" w:rsidRPr="00794ED1" w:rsidRDefault="00F56A04" w:rsidP="00F56A04">
            <w:pPr>
              <w:spacing w:after="200"/>
              <w:rPr>
                <w:rFonts w:eastAsia="Times New Roman" w:cstheme="minorHAnsi"/>
              </w:rPr>
            </w:pPr>
            <w:r w:rsidRPr="00A608DD">
              <w:rPr>
                <w:rFonts w:eastAsia="Times New Roman" w:cstheme="minorHAnsi"/>
              </w:rPr>
              <w:t>Sector-Led Improvement is overseen by ALDCS, which act as a Regional Improvement Alliance (RIA) covering the 33 London Authorities. T</w:t>
            </w:r>
            <w:r w:rsidRPr="00794ED1">
              <w:rPr>
                <w:rFonts w:eastAsia="Times New Roman" w:cstheme="minorHAnsi"/>
              </w:rPr>
              <w:t xml:space="preserve">he aims </w:t>
            </w:r>
            <w:r w:rsidRPr="00A608DD">
              <w:rPr>
                <w:rFonts w:eastAsia="Times New Roman" w:cstheme="minorHAnsi"/>
              </w:rPr>
              <w:t>are</w:t>
            </w:r>
            <w:r w:rsidRPr="00794ED1">
              <w:rPr>
                <w:rFonts w:eastAsia="Times New Roman" w:cstheme="minorHAnsi"/>
              </w:rPr>
              <w:t>:</w:t>
            </w:r>
          </w:p>
          <w:p w:rsidR="00F56A04" w:rsidRPr="006169DF" w:rsidRDefault="00F56A04" w:rsidP="00F56A0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/>
              <w:rPr>
                <w:rFonts w:eastAsia="Times New Roman" w:cstheme="minorHAnsi"/>
                <w:lang w:eastAsia="en-GB" w:bidi="en-US"/>
              </w:rPr>
            </w:pPr>
            <w:r w:rsidRPr="006169DF">
              <w:rPr>
                <w:rFonts w:eastAsia="Times New Roman" w:cstheme="minorHAnsi"/>
                <w:lang w:eastAsia="en-GB" w:bidi="en-US"/>
              </w:rPr>
              <w:t xml:space="preserve">Securing a journey of continuous improvement to achieve the best possible outcomes for children and young people. </w:t>
            </w:r>
            <w:bookmarkStart w:id="0" w:name="_GoBack"/>
            <w:bookmarkEnd w:id="0"/>
          </w:p>
          <w:p w:rsidR="00F56A04" w:rsidRPr="006169DF" w:rsidRDefault="00F56A04" w:rsidP="00F56A0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/>
              <w:rPr>
                <w:rFonts w:eastAsia="Times New Roman" w:cstheme="minorHAnsi"/>
                <w:lang w:eastAsia="en-GB" w:bidi="en-US"/>
              </w:rPr>
            </w:pPr>
            <w:r w:rsidRPr="006169DF">
              <w:rPr>
                <w:rFonts w:eastAsia="Times New Roman" w:cstheme="minorHAnsi"/>
                <w:lang w:eastAsia="en-GB" w:bidi="en-US"/>
              </w:rPr>
              <w:t>Building on existing capability in children’s services, corporately and with partners to identify good practice, diagnose improvement challenges and identify risks to performance.</w:t>
            </w:r>
          </w:p>
          <w:p w:rsidR="00F56A04" w:rsidRPr="006169DF" w:rsidRDefault="00F56A04" w:rsidP="00F56A0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/>
              <w:rPr>
                <w:rFonts w:eastAsia="Times New Roman" w:cstheme="minorHAnsi"/>
                <w:lang w:eastAsia="en-GB" w:bidi="en-US"/>
              </w:rPr>
            </w:pPr>
            <w:r w:rsidRPr="006169DF">
              <w:rPr>
                <w:rFonts w:eastAsia="Times New Roman" w:cstheme="minorHAnsi"/>
                <w:lang w:eastAsia="en-GB" w:bidi="en-US"/>
              </w:rPr>
              <w:t xml:space="preserve">Systematically sharing knowledge about what works across the sector and ensuring that there is effective brokerage of best practice solutions. </w:t>
            </w:r>
          </w:p>
          <w:p w:rsidR="00F56A04" w:rsidRDefault="00F56A04" w:rsidP="00F56A04">
            <w:r>
              <w:t>For the 2018/19 SLI cycle, London has been divided into four sub-regions, North, West, East and South, each of which have developed improvement priorities, which have been shared across London. Three pan-London themes have been identified;</w:t>
            </w:r>
          </w:p>
          <w:p w:rsidR="00F56A04" w:rsidRDefault="00F56A04" w:rsidP="00F56A04"/>
          <w:p w:rsidR="00F56A04" w:rsidRDefault="00F56A04" w:rsidP="00F56A04">
            <w:pPr>
              <w:pStyle w:val="ListParagraph"/>
              <w:numPr>
                <w:ilvl w:val="0"/>
                <w:numId w:val="3"/>
              </w:numPr>
            </w:pPr>
            <w:r>
              <w:t>Theme 1: Adolescent / Contextual Safeguarding</w:t>
            </w:r>
          </w:p>
          <w:p w:rsidR="00F56A04" w:rsidRDefault="00F56A04" w:rsidP="00F56A04">
            <w:pPr>
              <w:pStyle w:val="ListParagraph"/>
              <w:numPr>
                <w:ilvl w:val="0"/>
                <w:numId w:val="3"/>
              </w:numPr>
            </w:pPr>
            <w:r>
              <w:t>Theme 2: SEND</w:t>
            </w:r>
          </w:p>
          <w:p w:rsidR="00F56A04" w:rsidRDefault="00F56A04" w:rsidP="00F56A04">
            <w:pPr>
              <w:pStyle w:val="ListParagraph"/>
              <w:numPr>
                <w:ilvl w:val="0"/>
                <w:numId w:val="3"/>
              </w:numPr>
            </w:pPr>
            <w:r>
              <w:t>Theme 3: Workforce – recruitment and retention</w:t>
            </w:r>
          </w:p>
          <w:p w:rsidR="00F56A04" w:rsidRDefault="00F56A04" w:rsidP="00F56A04">
            <w:pPr>
              <w:pStyle w:val="ListParagraph"/>
              <w:numPr>
                <w:ilvl w:val="0"/>
                <w:numId w:val="3"/>
              </w:numPr>
            </w:pPr>
            <w:r>
              <w:t>Theme 4: Financial analysis and understanding demand</w:t>
            </w:r>
          </w:p>
          <w:p w:rsidR="00F56A04" w:rsidRDefault="00F56A04" w:rsidP="00197501">
            <w:pPr>
              <w:rPr>
                <w:b/>
                <w:sz w:val="24"/>
              </w:rPr>
            </w:pPr>
          </w:p>
        </w:tc>
      </w:tr>
    </w:tbl>
    <w:p w:rsidR="00450BB7" w:rsidRDefault="00450BB7" w:rsidP="00450B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6A04" w:rsidTr="00F56A04">
        <w:tc>
          <w:tcPr>
            <w:tcW w:w="9016" w:type="dxa"/>
            <w:shd w:val="clear" w:color="auto" w:fill="E7E6E6" w:themeFill="background2"/>
          </w:tcPr>
          <w:p w:rsidR="00F56A04" w:rsidRPr="00F56A04" w:rsidRDefault="00F56A04" w:rsidP="00F56A04">
            <w:pPr>
              <w:pStyle w:val="ListParagraph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F56A04">
              <w:rPr>
                <w:b/>
                <w:bCs/>
                <w:sz w:val="28"/>
                <w:szCs w:val="28"/>
              </w:rPr>
              <w:t>Identifying and describing the challenges – the case for improvement:</w:t>
            </w:r>
          </w:p>
          <w:p w:rsidR="00F56A04" w:rsidRDefault="00F56A04" w:rsidP="00450BB7"/>
        </w:tc>
      </w:tr>
      <w:tr w:rsidR="00F56A04" w:rsidTr="00F56A04">
        <w:tc>
          <w:tcPr>
            <w:tcW w:w="9016" w:type="dxa"/>
          </w:tcPr>
          <w:p w:rsidR="00F56A04" w:rsidRDefault="00F56A04" w:rsidP="00F56A04">
            <w:r>
              <w:t>There are significant problems in recruiting and retaining Children’s Social Care staff across London. All four London sub-regions have raised this as a key priority area for improvement. This challenge is particularly evident across qualified social work roles dealing with managing risk in the community – across MASH, Child Protection and Children in Need work. Retention of staff is also problematic, with increasing numbers of qualified social workers leaving the profession. Although this is a problem experienced across the country, it is more severe in specific regions, and London is one of these.</w:t>
            </w:r>
          </w:p>
          <w:p w:rsidR="00F56A04" w:rsidRDefault="00F56A04" w:rsidP="00F56A04"/>
          <w:p w:rsidR="00F56A04" w:rsidRDefault="00F56A04" w:rsidP="00F56A04">
            <w:r>
              <w:t>There are a number of causes or drivers of this problem:</w:t>
            </w:r>
          </w:p>
          <w:p w:rsidR="00F56A04" w:rsidRDefault="00F56A04" w:rsidP="00F56A04"/>
          <w:p w:rsidR="00F56A04" w:rsidRDefault="00F56A04" w:rsidP="00F56A04">
            <w:pPr>
              <w:pStyle w:val="ListParagraph"/>
              <w:numPr>
                <w:ilvl w:val="0"/>
                <w:numId w:val="6"/>
              </w:numPr>
            </w:pPr>
            <w:r>
              <w:t>Supply – due to social workers leaving the profession, there is a perception that there are insufficient social workers available of the required quality to cover key roles.</w:t>
            </w:r>
          </w:p>
          <w:p w:rsidR="00F56A04" w:rsidRDefault="00F56A04" w:rsidP="00F56A04">
            <w:pPr>
              <w:pStyle w:val="ListParagraph"/>
              <w:numPr>
                <w:ilvl w:val="0"/>
                <w:numId w:val="6"/>
              </w:numPr>
            </w:pPr>
            <w:r>
              <w:t>Push factors: Environment and conditions. Stress and challenges of the work, caseloads and support available. Reputation and impact of OFSTED outcomes.</w:t>
            </w:r>
          </w:p>
          <w:p w:rsidR="00F56A04" w:rsidRDefault="00F56A04" w:rsidP="00F56A04">
            <w:pPr>
              <w:pStyle w:val="ListParagraph"/>
              <w:numPr>
                <w:ilvl w:val="0"/>
                <w:numId w:val="6"/>
              </w:numPr>
            </w:pPr>
            <w:r>
              <w:t xml:space="preserve">Competition between local authorities leading to disparity in rewards and flexibility offered through agencies / umbrella companies. </w:t>
            </w:r>
          </w:p>
          <w:p w:rsidR="00F56A04" w:rsidRDefault="00F56A04" w:rsidP="00F56A04">
            <w:pPr>
              <w:pStyle w:val="ListParagraph"/>
              <w:numPr>
                <w:ilvl w:val="0"/>
                <w:numId w:val="6"/>
              </w:numPr>
            </w:pPr>
            <w:r>
              <w:t>Lack of opportunity and insufficient clarity and u</w:t>
            </w:r>
            <w:r w:rsidR="00A557D9">
              <w:t>nderstanding of career pathways.</w:t>
            </w:r>
            <w:r>
              <w:t xml:space="preserve"> </w:t>
            </w:r>
          </w:p>
          <w:p w:rsidR="00F56A04" w:rsidRDefault="00F56A04" w:rsidP="00F56A04"/>
          <w:p w:rsidR="00F56A04" w:rsidRDefault="00F56A04" w:rsidP="00F56A04"/>
          <w:p w:rsidR="00F56A04" w:rsidRDefault="00F56A04" w:rsidP="00F56A04">
            <w:r>
              <w:lastRenderedPageBreak/>
              <w:t>The competition between Local Authorities, and with agencies to attract staff can lead to an escalating trend of increased benefits increasing the costs associated with providing services.</w:t>
            </w:r>
          </w:p>
          <w:p w:rsidR="00F56A04" w:rsidRDefault="00F56A04" w:rsidP="00A557D9"/>
        </w:tc>
      </w:tr>
    </w:tbl>
    <w:p w:rsidR="006169DF" w:rsidRDefault="006169DF" w:rsidP="00450B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52FD" w:rsidTr="00F56A04">
        <w:tc>
          <w:tcPr>
            <w:tcW w:w="9016" w:type="dxa"/>
            <w:shd w:val="clear" w:color="auto" w:fill="E7E6E6" w:themeFill="background2"/>
          </w:tcPr>
          <w:p w:rsidR="001852FD" w:rsidRPr="00F56A04" w:rsidRDefault="001852FD" w:rsidP="00F56A04">
            <w:pPr>
              <w:pStyle w:val="ListParagraph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F56A04">
              <w:rPr>
                <w:b/>
                <w:sz w:val="28"/>
                <w:szCs w:val="28"/>
              </w:rPr>
              <w:t>Understanding the problem (including p</w:t>
            </w:r>
            <w:r w:rsidRPr="00F56A04">
              <w:rPr>
                <w:b/>
                <w:bCs/>
                <w:sz w:val="28"/>
                <w:szCs w:val="28"/>
              </w:rPr>
              <w:t>erformance data, national data and benchmarking):</w:t>
            </w:r>
          </w:p>
          <w:p w:rsidR="001852FD" w:rsidRDefault="001852FD" w:rsidP="00450BB7"/>
        </w:tc>
      </w:tr>
      <w:tr w:rsidR="001852FD" w:rsidTr="001852FD">
        <w:tc>
          <w:tcPr>
            <w:tcW w:w="9016" w:type="dxa"/>
          </w:tcPr>
          <w:p w:rsidR="001852FD" w:rsidRDefault="001852FD" w:rsidP="001852FD">
            <w:r>
              <w:t xml:space="preserve">Although there are differences across London, this is a significant issue for all sub-regions. There is a wide variation between Local Authorities that are performing ‘well’ (rate of permanency as a % of total staff), and those which are experiencing challenges. As described above, there are a range of factors that may affect the ability of Local Authorities to achieve permanent stability in social care staff. The situation is quite volatile, with many local authorities employing a range of strategies just </w:t>
            </w:r>
            <w:proofErr w:type="gramStart"/>
            <w:r>
              <w:t>to</w:t>
            </w:r>
            <w:proofErr w:type="gramEnd"/>
            <w:r>
              <w:t xml:space="preserve"> effectively ‘stand-still’. </w:t>
            </w:r>
          </w:p>
          <w:p w:rsidR="001852FD" w:rsidRDefault="001852FD" w:rsidP="001852FD"/>
          <w:p w:rsidR="001852FD" w:rsidRDefault="001852FD" w:rsidP="001852FD">
            <w:r>
              <w:t xml:space="preserve">The context of the Local Authority can compound challenges including reputation, geography, transport, working conditions, benefits and weighting. </w:t>
            </w:r>
          </w:p>
          <w:p w:rsidR="001852FD" w:rsidRDefault="001852FD" w:rsidP="001852FD"/>
        </w:tc>
      </w:tr>
    </w:tbl>
    <w:p w:rsidR="006169DF" w:rsidRDefault="006169DF" w:rsidP="00450B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6A04" w:rsidTr="00F56A04">
        <w:tc>
          <w:tcPr>
            <w:tcW w:w="9016" w:type="dxa"/>
            <w:shd w:val="clear" w:color="auto" w:fill="E7E6E6" w:themeFill="background2"/>
          </w:tcPr>
          <w:p w:rsidR="00F56A04" w:rsidRPr="00F56A04" w:rsidRDefault="00F56A04" w:rsidP="00F56A04">
            <w:pPr>
              <w:pStyle w:val="ListParagraph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F56A04">
              <w:rPr>
                <w:b/>
                <w:bCs/>
                <w:sz w:val="28"/>
                <w:szCs w:val="28"/>
              </w:rPr>
              <w:t xml:space="preserve">Financial implications: </w:t>
            </w:r>
          </w:p>
          <w:p w:rsidR="00F56A04" w:rsidRDefault="00F56A04" w:rsidP="00450BB7"/>
        </w:tc>
      </w:tr>
      <w:tr w:rsidR="00F56A04" w:rsidTr="00F56A04">
        <w:tc>
          <w:tcPr>
            <w:tcW w:w="9016" w:type="dxa"/>
          </w:tcPr>
          <w:p w:rsidR="00F56A04" w:rsidRDefault="00F56A04" w:rsidP="00F56A04">
            <w:r>
              <w:t xml:space="preserve">There is also a financial cost. Even with the memorandum of understanding, the employment of agency staff can add around 30% on to the staffing costs. </w:t>
            </w:r>
          </w:p>
          <w:p w:rsidR="00F56A04" w:rsidRDefault="00F56A04" w:rsidP="00F56A04"/>
          <w:p w:rsidR="00A557D9" w:rsidRDefault="00A557D9" w:rsidP="00F56A04"/>
        </w:tc>
      </w:tr>
    </w:tbl>
    <w:p w:rsidR="008F00AB" w:rsidRDefault="008F00AB" w:rsidP="008F00AB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6A04" w:rsidTr="00F56A04">
        <w:tc>
          <w:tcPr>
            <w:tcW w:w="9016" w:type="dxa"/>
            <w:shd w:val="clear" w:color="auto" w:fill="E7E6E6" w:themeFill="background2"/>
          </w:tcPr>
          <w:p w:rsidR="00F56A04" w:rsidRPr="00F56A04" w:rsidRDefault="00F56A04" w:rsidP="00F56A04">
            <w:pPr>
              <w:pStyle w:val="ListParagraph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F56A04">
              <w:rPr>
                <w:b/>
                <w:bCs/>
                <w:sz w:val="28"/>
                <w:szCs w:val="28"/>
              </w:rPr>
              <w:t xml:space="preserve">Practice Implications and impact on families and children: </w:t>
            </w:r>
          </w:p>
          <w:p w:rsidR="00F56A04" w:rsidRDefault="00F56A04" w:rsidP="000061A9"/>
        </w:tc>
      </w:tr>
      <w:tr w:rsidR="00F56A04" w:rsidTr="00F56A04">
        <w:tc>
          <w:tcPr>
            <w:tcW w:w="9016" w:type="dxa"/>
          </w:tcPr>
          <w:p w:rsidR="00F56A04" w:rsidRDefault="00F56A04" w:rsidP="00F56A04"/>
          <w:p w:rsidR="00F56A04" w:rsidRDefault="00F56A04" w:rsidP="00F56A04">
            <w:r>
              <w:t xml:space="preserve">Where there are significant gaps and/or an over-reliance on temporary staff, this can lead to problems with the quality and consistency of practice.  This variability can make it more difficult to achieve an OFSTED rating </w:t>
            </w:r>
            <w:proofErr w:type="gramStart"/>
            <w:r>
              <w:t>of  ‘good’</w:t>
            </w:r>
            <w:proofErr w:type="gramEnd"/>
            <w:r>
              <w:t xml:space="preserve"> or better. This is likely to increase the risk of inconsistent standards and risks being missed – and may impact on the reputation of the local authority.</w:t>
            </w:r>
          </w:p>
          <w:p w:rsidR="00F56A04" w:rsidRDefault="00F56A04" w:rsidP="00F56A04"/>
          <w:p w:rsidR="00F56A04" w:rsidRDefault="00F56A04" w:rsidP="00F56A04">
            <w:r>
              <w:t xml:space="preserve">There are a number of challenges associated with this issue. It leads to a difficulties in delivering services of consistent good quality. There are problems with succession planning due to churn and retention issues. The capacity to drive improvement is constrained if first-line managers are not in place. Inconsistent relationships for families / children.  </w:t>
            </w:r>
          </w:p>
          <w:p w:rsidR="00A557D9" w:rsidRDefault="00A557D9" w:rsidP="00F56A04"/>
        </w:tc>
      </w:tr>
    </w:tbl>
    <w:p w:rsidR="00197501" w:rsidRPr="000061A9" w:rsidRDefault="00197501" w:rsidP="000061A9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6A04" w:rsidTr="00F56A04">
        <w:tc>
          <w:tcPr>
            <w:tcW w:w="9016" w:type="dxa"/>
            <w:shd w:val="clear" w:color="auto" w:fill="E7E6E6" w:themeFill="background2"/>
          </w:tcPr>
          <w:p w:rsidR="00F56A04" w:rsidRPr="00F56A04" w:rsidRDefault="00F56A04" w:rsidP="00F56A04">
            <w:pPr>
              <w:pStyle w:val="ListParagraph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What is working;</w:t>
            </w:r>
            <w:r w:rsidRPr="00F56A04">
              <w:rPr>
                <w:b/>
                <w:bCs/>
                <w:sz w:val="28"/>
                <w:szCs w:val="28"/>
              </w:rPr>
              <w:t xml:space="preserve"> what is there to build on? </w:t>
            </w:r>
          </w:p>
          <w:p w:rsidR="00F56A04" w:rsidRDefault="00F56A04" w:rsidP="00450BB7"/>
        </w:tc>
      </w:tr>
      <w:tr w:rsidR="00F56A04" w:rsidTr="00F56A04">
        <w:tc>
          <w:tcPr>
            <w:tcW w:w="9016" w:type="dxa"/>
          </w:tcPr>
          <w:p w:rsidR="00F56A04" w:rsidRDefault="00F56A04" w:rsidP="00F56A04">
            <w:r>
              <w:t>Leaders for London.</w:t>
            </w:r>
          </w:p>
          <w:p w:rsidR="00F56A04" w:rsidRDefault="00F56A04" w:rsidP="00F56A04">
            <w:r>
              <w:t>Memorandum of understanding.</w:t>
            </w:r>
          </w:p>
          <w:p w:rsidR="00F56A04" w:rsidRDefault="00F56A04" w:rsidP="00F56A04">
            <w:r>
              <w:t>Social Work accreditation.</w:t>
            </w:r>
          </w:p>
          <w:p w:rsidR="00F56A04" w:rsidRDefault="00F56A04" w:rsidP="00F56A04">
            <w:r>
              <w:t>Teaching partnerships.</w:t>
            </w:r>
          </w:p>
          <w:p w:rsidR="00F56A04" w:rsidRDefault="00F56A04" w:rsidP="00F56A04">
            <w:r>
              <w:t xml:space="preserve">Initiatives such as Step-up and Frontline. </w:t>
            </w:r>
          </w:p>
          <w:p w:rsidR="00F56A04" w:rsidRDefault="00F56A04" w:rsidP="00F56A04">
            <w:r>
              <w:t xml:space="preserve">Practice Leaders / practice </w:t>
            </w:r>
            <w:proofErr w:type="gramStart"/>
            <w:r>
              <w:t>supervisors</w:t>
            </w:r>
            <w:proofErr w:type="gramEnd"/>
            <w:r>
              <w:t xml:space="preserve"> course.</w:t>
            </w:r>
          </w:p>
          <w:p w:rsidR="00F56A04" w:rsidRDefault="00F56A04" w:rsidP="00F56A04">
            <w:r>
              <w:t>Learning from LA’s that perform well in this area - Social Care Academies (usually single-borough).</w:t>
            </w:r>
          </w:p>
        </w:tc>
      </w:tr>
    </w:tbl>
    <w:p w:rsidR="007D79DB" w:rsidRDefault="007D79DB" w:rsidP="00450B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5"/>
        <w:gridCol w:w="4381"/>
      </w:tblGrid>
      <w:tr w:rsidR="00F56A04" w:rsidTr="00F56A04">
        <w:tc>
          <w:tcPr>
            <w:tcW w:w="9016" w:type="dxa"/>
            <w:gridSpan w:val="2"/>
            <w:shd w:val="clear" w:color="auto" w:fill="E7E6E6" w:themeFill="background2"/>
          </w:tcPr>
          <w:p w:rsidR="00F56A04" w:rsidRPr="00F56A04" w:rsidRDefault="00F56A04" w:rsidP="00F56A04">
            <w:pPr>
              <w:pStyle w:val="ListParagraph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F56A04">
              <w:rPr>
                <w:b/>
                <w:bCs/>
                <w:sz w:val="28"/>
                <w:szCs w:val="28"/>
              </w:rPr>
              <w:lastRenderedPageBreak/>
              <w:t>Aims and key areas of focus (</w:t>
            </w:r>
            <w:r w:rsidRPr="00F56A04">
              <w:rPr>
                <w:b/>
                <w:i/>
                <w:iCs/>
                <w:sz w:val="28"/>
                <w:szCs w:val="28"/>
              </w:rPr>
              <w:t xml:space="preserve">probably best set out in a basic peer challenge skeleton for each priority) </w:t>
            </w:r>
          </w:p>
          <w:p w:rsidR="00F56A04" w:rsidRDefault="00F56A04" w:rsidP="00450BB7">
            <w:pPr>
              <w:rPr>
                <w:sz w:val="24"/>
              </w:rPr>
            </w:pPr>
          </w:p>
        </w:tc>
      </w:tr>
      <w:tr w:rsidR="00300D92" w:rsidTr="00300D92">
        <w:tc>
          <w:tcPr>
            <w:tcW w:w="4635" w:type="dxa"/>
            <w:shd w:val="clear" w:color="auto" w:fill="E7E6E6" w:themeFill="background2"/>
          </w:tcPr>
          <w:p w:rsidR="00300D92" w:rsidRPr="00300D92" w:rsidRDefault="00300D92" w:rsidP="00F56A04">
            <w:pPr>
              <w:rPr>
                <w:b/>
              </w:rPr>
            </w:pPr>
            <w:r w:rsidRPr="00300D92">
              <w:rPr>
                <w:b/>
              </w:rPr>
              <w:t>Aim</w:t>
            </w:r>
          </w:p>
        </w:tc>
        <w:tc>
          <w:tcPr>
            <w:tcW w:w="4381" w:type="dxa"/>
            <w:shd w:val="clear" w:color="auto" w:fill="E7E6E6" w:themeFill="background2"/>
          </w:tcPr>
          <w:p w:rsidR="00300D92" w:rsidRPr="00300D92" w:rsidRDefault="00300D92" w:rsidP="00F56A04">
            <w:pPr>
              <w:rPr>
                <w:b/>
                <w:sz w:val="24"/>
              </w:rPr>
            </w:pPr>
            <w:r w:rsidRPr="00300D92">
              <w:rPr>
                <w:b/>
                <w:sz w:val="24"/>
              </w:rPr>
              <w:t>Measure</w:t>
            </w:r>
          </w:p>
        </w:tc>
      </w:tr>
      <w:tr w:rsidR="00F56A04" w:rsidTr="00300D92">
        <w:trPr>
          <w:trHeight w:val="605"/>
        </w:trPr>
        <w:tc>
          <w:tcPr>
            <w:tcW w:w="4635" w:type="dxa"/>
          </w:tcPr>
          <w:p w:rsidR="00F56A04" w:rsidRDefault="00F56A04" w:rsidP="00F56A04">
            <w:r>
              <w:t xml:space="preserve">Increasing the supply of social workers </w:t>
            </w:r>
          </w:p>
          <w:p w:rsidR="00F56A04" w:rsidRDefault="00F56A04" w:rsidP="00F56A04">
            <w:pPr>
              <w:rPr>
                <w:sz w:val="24"/>
              </w:rPr>
            </w:pPr>
          </w:p>
        </w:tc>
        <w:tc>
          <w:tcPr>
            <w:tcW w:w="4381" w:type="dxa"/>
          </w:tcPr>
          <w:p w:rsidR="00F56A04" w:rsidRDefault="00300D92" w:rsidP="00300D92">
            <w:pPr>
              <w:rPr>
                <w:sz w:val="24"/>
              </w:rPr>
            </w:pPr>
            <w:r>
              <w:t>Reduction in vacancies and use of agency social workers.</w:t>
            </w:r>
          </w:p>
        </w:tc>
      </w:tr>
      <w:tr w:rsidR="00300D92" w:rsidTr="00300D92">
        <w:trPr>
          <w:trHeight w:val="1691"/>
        </w:trPr>
        <w:tc>
          <w:tcPr>
            <w:tcW w:w="4635" w:type="dxa"/>
          </w:tcPr>
          <w:p w:rsidR="00300D92" w:rsidRDefault="00300D92" w:rsidP="00300D92">
            <w:r>
              <w:t>Improving retention across London</w:t>
            </w:r>
          </w:p>
          <w:p w:rsidR="00300D92" w:rsidRDefault="00300D92" w:rsidP="00300D92"/>
          <w:p w:rsidR="00300D92" w:rsidRDefault="00300D92" w:rsidP="00300D92"/>
          <w:p w:rsidR="00300D92" w:rsidRDefault="00300D92" w:rsidP="00300D92">
            <w:r>
              <w:t>Improving retention within each LA / sub-region.</w:t>
            </w:r>
          </w:p>
        </w:tc>
        <w:tc>
          <w:tcPr>
            <w:tcW w:w="4381" w:type="dxa"/>
          </w:tcPr>
          <w:p w:rsidR="00300D92" w:rsidRDefault="00300D92" w:rsidP="00300D92">
            <w:r>
              <w:t>Reducing those leaving the profession in the London region &lt; 10 years in practice.</w:t>
            </w:r>
          </w:p>
          <w:p w:rsidR="00300D92" w:rsidRDefault="00300D92" w:rsidP="00300D92"/>
          <w:p w:rsidR="00300D92" w:rsidRDefault="00300D92" w:rsidP="00300D92">
            <w:r>
              <w:t>Reduce changes of social worker. Reducing churn / instability across individual LA and sub-regional groupings.</w:t>
            </w:r>
          </w:p>
        </w:tc>
      </w:tr>
      <w:tr w:rsidR="00300D92" w:rsidTr="00300D92">
        <w:trPr>
          <w:trHeight w:val="990"/>
        </w:trPr>
        <w:tc>
          <w:tcPr>
            <w:tcW w:w="4635" w:type="dxa"/>
          </w:tcPr>
          <w:p w:rsidR="00300D92" w:rsidRDefault="00300D92" w:rsidP="00300D92">
            <w:r>
              <w:t xml:space="preserve">Succession planning – tracking progress of individuals – career development (accreditation?) </w:t>
            </w:r>
          </w:p>
        </w:tc>
        <w:tc>
          <w:tcPr>
            <w:tcW w:w="4381" w:type="dxa"/>
          </w:tcPr>
          <w:p w:rsidR="00300D92" w:rsidRDefault="00300D92" w:rsidP="00F56A04"/>
        </w:tc>
      </w:tr>
      <w:tr w:rsidR="00300D92" w:rsidTr="00300D92">
        <w:trPr>
          <w:trHeight w:val="870"/>
        </w:trPr>
        <w:tc>
          <w:tcPr>
            <w:tcW w:w="4635" w:type="dxa"/>
          </w:tcPr>
          <w:p w:rsidR="00300D92" w:rsidRDefault="00300D92" w:rsidP="00300D92"/>
          <w:p w:rsidR="00300D92" w:rsidRDefault="00300D92" w:rsidP="00300D92">
            <w:r>
              <w:t>Reducing costs.</w:t>
            </w:r>
          </w:p>
          <w:p w:rsidR="00300D92" w:rsidRDefault="00300D92" w:rsidP="00F56A04"/>
        </w:tc>
        <w:tc>
          <w:tcPr>
            <w:tcW w:w="4381" w:type="dxa"/>
          </w:tcPr>
          <w:p w:rsidR="00300D92" w:rsidRDefault="00300D92" w:rsidP="00F56A04"/>
        </w:tc>
      </w:tr>
      <w:tr w:rsidR="00300D92" w:rsidTr="00F56A04">
        <w:trPr>
          <w:trHeight w:val="726"/>
        </w:trPr>
        <w:tc>
          <w:tcPr>
            <w:tcW w:w="4635" w:type="dxa"/>
          </w:tcPr>
          <w:p w:rsidR="00300D92" w:rsidRPr="000061A9" w:rsidRDefault="00300D92" w:rsidP="00300D92">
            <w:pPr>
              <w:rPr>
                <w:sz w:val="24"/>
              </w:rPr>
            </w:pPr>
            <w:r>
              <w:t>Improving the quality of service provision.</w:t>
            </w:r>
          </w:p>
          <w:p w:rsidR="00300D92" w:rsidRDefault="00300D92" w:rsidP="00F56A04"/>
        </w:tc>
        <w:tc>
          <w:tcPr>
            <w:tcW w:w="4381" w:type="dxa"/>
          </w:tcPr>
          <w:p w:rsidR="00300D92" w:rsidRDefault="00300D92" w:rsidP="00F56A04"/>
        </w:tc>
      </w:tr>
    </w:tbl>
    <w:p w:rsidR="000061A9" w:rsidRDefault="000061A9" w:rsidP="000061A9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56A04" w:rsidRPr="007D79DB" w:rsidTr="00F56A04">
        <w:tc>
          <w:tcPr>
            <w:tcW w:w="9016" w:type="dxa"/>
            <w:gridSpan w:val="3"/>
            <w:shd w:val="clear" w:color="auto" w:fill="E7E6E6" w:themeFill="background2"/>
          </w:tcPr>
          <w:p w:rsidR="00F56A04" w:rsidRPr="00F56A04" w:rsidRDefault="00F56A04" w:rsidP="00F56A04">
            <w:pPr>
              <w:pStyle w:val="ListParagraph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F56A04">
              <w:rPr>
                <w:b/>
                <w:bCs/>
                <w:sz w:val="28"/>
                <w:szCs w:val="28"/>
              </w:rPr>
              <w:t xml:space="preserve">Identifying options for improvement </w:t>
            </w:r>
          </w:p>
          <w:p w:rsidR="00F56A04" w:rsidRPr="007D79DB" w:rsidRDefault="00F56A04" w:rsidP="000061A9">
            <w:pPr>
              <w:rPr>
                <w:b/>
              </w:rPr>
            </w:pPr>
          </w:p>
        </w:tc>
      </w:tr>
      <w:tr w:rsidR="000061A9" w:rsidRPr="007D79DB" w:rsidTr="00F56A04">
        <w:tc>
          <w:tcPr>
            <w:tcW w:w="3005" w:type="dxa"/>
            <w:shd w:val="clear" w:color="auto" w:fill="E7E6E6" w:themeFill="background2"/>
          </w:tcPr>
          <w:p w:rsidR="000061A9" w:rsidRPr="007D79DB" w:rsidRDefault="000061A9" w:rsidP="000061A9">
            <w:pPr>
              <w:rPr>
                <w:b/>
              </w:rPr>
            </w:pPr>
            <w:r w:rsidRPr="007D79DB">
              <w:rPr>
                <w:b/>
              </w:rPr>
              <w:t>Proposal</w:t>
            </w:r>
          </w:p>
        </w:tc>
        <w:tc>
          <w:tcPr>
            <w:tcW w:w="3005" w:type="dxa"/>
            <w:shd w:val="clear" w:color="auto" w:fill="E7E6E6" w:themeFill="background2"/>
          </w:tcPr>
          <w:p w:rsidR="000061A9" w:rsidRPr="007D79DB" w:rsidRDefault="000061A9" w:rsidP="000061A9">
            <w:pPr>
              <w:rPr>
                <w:b/>
              </w:rPr>
            </w:pPr>
            <w:r w:rsidRPr="007D79DB">
              <w:rPr>
                <w:b/>
              </w:rPr>
              <w:t>Action</w:t>
            </w:r>
          </w:p>
        </w:tc>
        <w:tc>
          <w:tcPr>
            <w:tcW w:w="3006" w:type="dxa"/>
            <w:shd w:val="clear" w:color="auto" w:fill="E7E6E6" w:themeFill="background2"/>
          </w:tcPr>
          <w:p w:rsidR="000061A9" w:rsidRPr="007D79DB" w:rsidRDefault="007D79DB" w:rsidP="000061A9">
            <w:pPr>
              <w:rPr>
                <w:b/>
              </w:rPr>
            </w:pPr>
            <w:r w:rsidRPr="007D79DB">
              <w:rPr>
                <w:b/>
              </w:rPr>
              <w:t>Outcomes and success criteria</w:t>
            </w:r>
          </w:p>
          <w:p w:rsidR="007D79DB" w:rsidRPr="007D79DB" w:rsidRDefault="007D79DB" w:rsidP="000061A9">
            <w:pPr>
              <w:rPr>
                <w:b/>
              </w:rPr>
            </w:pPr>
          </w:p>
        </w:tc>
      </w:tr>
      <w:tr w:rsidR="000061A9" w:rsidTr="000061A9">
        <w:tc>
          <w:tcPr>
            <w:tcW w:w="3005" w:type="dxa"/>
          </w:tcPr>
          <w:p w:rsidR="000061A9" w:rsidRPr="00A557D9" w:rsidRDefault="000061A9" w:rsidP="000061A9">
            <w:r w:rsidRPr="00A557D9">
              <w:t>Shared recruitment activities</w:t>
            </w:r>
          </w:p>
        </w:tc>
        <w:tc>
          <w:tcPr>
            <w:tcW w:w="3005" w:type="dxa"/>
          </w:tcPr>
          <w:p w:rsidR="000061A9" w:rsidRPr="00A557D9" w:rsidRDefault="007D79DB" w:rsidP="000061A9">
            <w:r w:rsidRPr="00A557D9">
              <w:t>M</w:t>
            </w:r>
            <w:r w:rsidR="000061A9" w:rsidRPr="00A557D9">
              <w:t>arketing and branding across London or sub-regions.</w:t>
            </w:r>
          </w:p>
          <w:p w:rsidR="00884509" w:rsidRPr="00A557D9" w:rsidRDefault="00884509" w:rsidP="000061A9">
            <w:r w:rsidRPr="00A557D9">
              <w:t>Shared recruitment events across London.</w:t>
            </w:r>
          </w:p>
          <w:p w:rsidR="000061A9" w:rsidRPr="00A557D9" w:rsidRDefault="000061A9" w:rsidP="000061A9">
            <w:pPr>
              <w:rPr>
                <w:b/>
              </w:rPr>
            </w:pPr>
          </w:p>
        </w:tc>
        <w:tc>
          <w:tcPr>
            <w:tcW w:w="3006" w:type="dxa"/>
          </w:tcPr>
          <w:p w:rsidR="000061A9" w:rsidRPr="00A557D9" w:rsidRDefault="007D79DB" w:rsidP="000061A9">
            <w:pPr>
              <w:rPr>
                <w:sz w:val="24"/>
                <w:szCs w:val="24"/>
              </w:rPr>
            </w:pPr>
            <w:r w:rsidRPr="00A557D9">
              <w:rPr>
                <w:sz w:val="24"/>
                <w:szCs w:val="24"/>
              </w:rPr>
              <w:t>Improved levels of permanency and stability in key roles, in ‘target’ authorities across London.</w:t>
            </w:r>
          </w:p>
        </w:tc>
      </w:tr>
      <w:tr w:rsidR="000061A9" w:rsidTr="000061A9">
        <w:tc>
          <w:tcPr>
            <w:tcW w:w="3005" w:type="dxa"/>
          </w:tcPr>
          <w:p w:rsidR="000061A9" w:rsidRPr="00A557D9" w:rsidRDefault="000061A9" w:rsidP="000061A9">
            <w:r w:rsidRPr="00A557D9">
              <w:t>Regionalised benefits and retention incentives</w:t>
            </w:r>
          </w:p>
        </w:tc>
        <w:tc>
          <w:tcPr>
            <w:tcW w:w="3005" w:type="dxa"/>
          </w:tcPr>
          <w:p w:rsidR="000061A9" w:rsidRPr="00A557D9" w:rsidRDefault="000061A9" w:rsidP="000061A9">
            <w:r w:rsidRPr="00A557D9">
              <w:t>Develop and agree common approach</w:t>
            </w:r>
          </w:p>
        </w:tc>
        <w:tc>
          <w:tcPr>
            <w:tcW w:w="3006" w:type="dxa"/>
          </w:tcPr>
          <w:p w:rsidR="000061A9" w:rsidRPr="00A557D9" w:rsidRDefault="007D79DB" w:rsidP="000061A9">
            <w:pPr>
              <w:rPr>
                <w:sz w:val="24"/>
                <w:szCs w:val="24"/>
              </w:rPr>
            </w:pPr>
            <w:r w:rsidRPr="00A557D9">
              <w:rPr>
                <w:sz w:val="24"/>
                <w:szCs w:val="24"/>
              </w:rPr>
              <w:t>Local Offer and formal agreements in place</w:t>
            </w:r>
            <w:r w:rsidR="00864056" w:rsidRPr="00A557D9">
              <w:rPr>
                <w:sz w:val="24"/>
                <w:szCs w:val="24"/>
              </w:rPr>
              <w:t xml:space="preserve"> – improved retention across key roles for participating authorities.</w:t>
            </w:r>
          </w:p>
        </w:tc>
      </w:tr>
      <w:tr w:rsidR="000061A9" w:rsidTr="000061A9">
        <w:tc>
          <w:tcPr>
            <w:tcW w:w="3005" w:type="dxa"/>
          </w:tcPr>
          <w:p w:rsidR="000061A9" w:rsidRPr="00A557D9" w:rsidRDefault="00884509" w:rsidP="000061A9">
            <w:r w:rsidRPr="00A557D9">
              <w:t>Pan-London approach for recruitment</w:t>
            </w:r>
            <w:r w:rsidR="00864056" w:rsidRPr="00A557D9">
              <w:t xml:space="preserve"> for into hard-to-recruit roles (</w:t>
            </w:r>
            <w:proofErr w:type="spellStart"/>
            <w:r w:rsidR="00864056" w:rsidRPr="00A557D9">
              <w:t>ie</w:t>
            </w:r>
            <w:proofErr w:type="spellEnd"/>
            <w:r w:rsidR="00864056" w:rsidRPr="00A557D9">
              <w:t xml:space="preserve"> Team Manager)</w:t>
            </w:r>
          </w:p>
        </w:tc>
        <w:tc>
          <w:tcPr>
            <w:tcW w:w="3005" w:type="dxa"/>
          </w:tcPr>
          <w:p w:rsidR="000061A9" w:rsidRPr="00A557D9" w:rsidRDefault="00884509" w:rsidP="007D79DB">
            <w:pPr>
              <w:rPr>
                <w:b/>
              </w:rPr>
            </w:pPr>
            <w:r w:rsidRPr="00A557D9">
              <w:t xml:space="preserve">Develop and agree approach </w:t>
            </w:r>
            <w:r w:rsidR="007D79DB" w:rsidRPr="00A557D9">
              <w:t>to collaboration</w:t>
            </w:r>
            <w:r w:rsidRPr="00A557D9">
              <w:t>.</w:t>
            </w:r>
          </w:p>
        </w:tc>
        <w:tc>
          <w:tcPr>
            <w:tcW w:w="3006" w:type="dxa"/>
          </w:tcPr>
          <w:p w:rsidR="000061A9" w:rsidRPr="00A557D9" w:rsidRDefault="00864056" w:rsidP="000061A9">
            <w:pPr>
              <w:rPr>
                <w:sz w:val="24"/>
                <w:szCs w:val="24"/>
              </w:rPr>
            </w:pPr>
            <w:r w:rsidRPr="00A557D9">
              <w:rPr>
                <w:sz w:val="24"/>
                <w:szCs w:val="24"/>
              </w:rPr>
              <w:t>Track benefits and improved levels of permanency and stability for target roles.</w:t>
            </w:r>
          </w:p>
        </w:tc>
      </w:tr>
      <w:tr w:rsidR="00884509" w:rsidTr="000061A9">
        <w:tc>
          <w:tcPr>
            <w:tcW w:w="3005" w:type="dxa"/>
          </w:tcPr>
          <w:p w:rsidR="00884509" w:rsidRPr="00A557D9" w:rsidRDefault="00884509" w:rsidP="00884509">
            <w:r w:rsidRPr="00A557D9">
              <w:t xml:space="preserve">Workforce standards across London are consistent </w:t>
            </w:r>
          </w:p>
        </w:tc>
        <w:tc>
          <w:tcPr>
            <w:tcW w:w="3005" w:type="dxa"/>
          </w:tcPr>
          <w:p w:rsidR="00864056" w:rsidRPr="00A557D9" w:rsidRDefault="00884509" w:rsidP="000061A9">
            <w:r w:rsidRPr="00A557D9">
              <w:t xml:space="preserve">Design principles are developed, agreed and implemented. </w:t>
            </w:r>
          </w:p>
          <w:p w:rsidR="00864056" w:rsidRPr="00A557D9" w:rsidRDefault="00864056" w:rsidP="000061A9"/>
          <w:p w:rsidR="00884509" w:rsidRPr="00A557D9" w:rsidRDefault="00864056" w:rsidP="000061A9">
            <w:r w:rsidRPr="00A557D9">
              <w:t>Training / career progression programme designed.</w:t>
            </w:r>
          </w:p>
          <w:p w:rsidR="00884509" w:rsidRPr="00A557D9" w:rsidRDefault="00884509" w:rsidP="000061A9"/>
        </w:tc>
        <w:tc>
          <w:tcPr>
            <w:tcW w:w="3006" w:type="dxa"/>
          </w:tcPr>
          <w:p w:rsidR="00884509" w:rsidRPr="00A557D9" w:rsidRDefault="00884509" w:rsidP="000061A9">
            <w:pPr>
              <w:rPr>
                <w:sz w:val="24"/>
                <w:szCs w:val="24"/>
              </w:rPr>
            </w:pPr>
            <w:r w:rsidRPr="00A557D9">
              <w:rPr>
                <w:sz w:val="24"/>
                <w:szCs w:val="24"/>
              </w:rPr>
              <w:t>‘London Pledge’ is shared and delivered.</w:t>
            </w:r>
          </w:p>
          <w:p w:rsidR="00864056" w:rsidRPr="00A557D9" w:rsidRDefault="00864056" w:rsidP="000061A9">
            <w:pPr>
              <w:rPr>
                <w:sz w:val="24"/>
                <w:szCs w:val="24"/>
              </w:rPr>
            </w:pPr>
          </w:p>
          <w:p w:rsidR="00864056" w:rsidRPr="00A557D9" w:rsidRDefault="00864056" w:rsidP="000061A9">
            <w:pPr>
              <w:rPr>
                <w:b/>
                <w:sz w:val="24"/>
                <w:szCs w:val="24"/>
              </w:rPr>
            </w:pPr>
            <w:r w:rsidRPr="00A557D9">
              <w:rPr>
                <w:sz w:val="24"/>
                <w:szCs w:val="24"/>
              </w:rPr>
              <w:t>Training / career progression offer delivered, and outcomes measured.</w:t>
            </w:r>
          </w:p>
        </w:tc>
      </w:tr>
      <w:tr w:rsidR="00884509" w:rsidTr="000061A9">
        <w:tc>
          <w:tcPr>
            <w:tcW w:w="3005" w:type="dxa"/>
          </w:tcPr>
          <w:p w:rsidR="00884509" w:rsidRPr="00A557D9" w:rsidRDefault="00864056" w:rsidP="00884509">
            <w:r w:rsidRPr="00A557D9">
              <w:lastRenderedPageBreak/>
              <w:t xml:space="preserve">Recruitment agencies </w:t>
            </w:r>
            <w:r w:rsidR="00884509" w:rsidRPr="00A557D9">
              <w:t>engaged across London</w:t>
            </w:r>
          </w:p>
        </w:tc>
        <w:tc>
          <w:tcPr>
            <w:tcW w:w="3005" w:type="dxa"/>
          </w:tcPr>
          <w:p w:rsidR="00884509" w:rsidRPr="00A557D9" w:rsidRDefault="00B52D10" w:rsidP="000061A9">
            <w:r w:rsidRPr="00A557D9">
              <w:t>Define process of supply and how to share resources across London</w:t>
            </w:r>
          </w:p>
        </w:tc>
        <w:tc>
          <w:tcPr>
            <w:tcW w:w="3006" w:type="dxa"/>
          </w:tcPr>
          <w:p w:rsidR="00884509" w:rsidRDefault="00884509" w:rsidP="000061A9"/>
        </w:tc>
      </w:tr>
    </w:tbl>
    <w:p w:rsidR="00B52D10" w:rsidRDefault="00B52D10" w:rsidP="00B52D1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F56A04" w:rsidTr="00F56A04">
        <w:tc>
          <w:tcPr>
            <w:tcW w:w="9016" w:type="dxa"/>
            <w:gridSpan w:val="2"/>
            <w:shd w:val="clear" w:color="auto" w:fill="E7E6E6" w:themeFill="background2"/>
          </w:tcPr>
          <w:p w:rsidR="00F56A04" w:rsidRPr="00F56A04" w:rsidRDefault="00A557D9" w:rsidP="00F56A04">
            <w:pPr>
              <w:pStyle w:val="ListParagraph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Options for n</w:t>
            </w:r>
            <w:r w:rsidR="00F56A04" w:rsidRPr="00F56A04">
              <w:rPr>
                <w:b/>
                <w:sz w:val="28"/>
                <w:szCs w:val="28"/>
              </w:rPr>
              <w:t xml:space="preserve">ext steps </w:t>
            </w:r>
          </w:p>
          <w:p w:rsidR="00F56A04" w:rsidRDefault="00F56A04" w:rsidP="00B52D10">
            <w:pPr>
              <w:rPr>
                <w:b/>
              </w:rPr>
            </w:pPr>
          </w:p>
        </w:tc>
      </w:tr>
      <w:tr w:rsidR="00B52D10" w:rsidTr="00F56A04">
        <w:tc>
          <w:tcPr>
            <w:tcW w:w="5949" w:type="dxa"/>
            <w:shd w:val="clear" w:color="auto" w:fill="E7E6E6" w:themeFill="background2"/>
          </w:tcPr>
          <w:p w:rsidR="00B52D10" w:rsidRDefault="00B52D10" w:rsidP="00B52D10">
            <w:pPr>
              <w:rPr>
                <w:b/>
              </w:rPr>
            </w:pPr>
            <w:r>
              <w:rPr>
                <w:b/>
              </w:rPr>
              <w:t>Item</w:t>
            </w:r>
          </w:p>
          <w:p w:rsidR="00300D92" w:rsidRDefault="00300D92" w:rsidP="00B52D10">
            <w:pPr>
              <w:rPr>
                <w:b/>
              </w:rPr>
            </w:pPr>
          </w:p>
        </w:tc>
        <w:tc>
          <w:tcPr>
            <w:tcW w:w="3067" w:type="dxa"/>
            <w:shd w:val="clear" w:color="auto" w:fill="E7E6E6" w:themeFill="background2"/>
          </w:tcPr>
          <w:p w:rsidR="00B52D10" w:rsidRDefault="00B52D10" w:rsidP="00B52D10">
            <w:pPr>
              <w:rPr>
                <w:b/>
              </w:rPr>
            </w:pPr>
            <w:r>
              <w:rPr>
                <w:b/>
              </w:rPr>
              <w:t>Timeline</w:t>
            </w:r>
          </w:p>
        </w:tc>
      </w:tr>
      <w:tr w:rsidR="007D79DB" w:rsidTr="001852FD">
        <w:tc>
          <w:tcPr>
            <w:tcW w:w="5949" w:type="dxa"/>
          </w:tcPr>
          <w:p w:rsidR="007D79DB" w:rsidRDefault="007D79DB" w:rsidP="007D79DB">
            <w:r>
              <w:t>Develop a working group (to report to ALDCS) with representatives from each sub-region.</w:t>
            </w:r>
          </w:p>
          <w:p w:rsidR="007D79DB" w:rsidRDefault="007D79DB" w:rsidP="007D79DB">
            <w:pPr>
              <w:rPr>
                <w:b/>
              </w:rPr>
            </w:pPr>
          </w:p>
        </w:tc>
        <w:tc>
          <w:tcPr>
            <w:tcW w:w="3067" w:type="dxa"/>
          </w:tcPr>
          <w:p w:rsidR="007D79DB" w:rsidRDefault="007D79DB" w:rsidP="007D79DB">
            <w:pPr>
              <w:rPr>
                <w:b/>
              </w:rPr>
            </w:pPr>
          </w:p>
        </w:tc>
      </w:tr>
      <w:tr w:rsidR="007D79DB" w:rsidTr="001852FD">
        <w:tc>
          <w:tcPr>
            <w:tcW w:w="5949" w:type="dxa"/>
          </w:tcPr>
          <w:p w:rsidR="007D79DB" w:rsidRDefault="007D79DB" w:rsidP="007D79DB">
            <w:r>
              <w:t>Link with the heads of HR group to collaborate on this work-stream.</w:t>
            </w:r>
          </w:p>
          <w:p w:rsidR="007D79DB" w:rsidRDefault="007D79DB" w:rsidP="007D79DB"/>
        </w:tc>
        <w:tc>
          <w:tcPr>
            <w:tcW w:w="3067" w:type="dxa"/>
          </w:tcPr>
          <w:p w:rsidR="007D79DB" w:rsidRDefault="007D79DB" w:rsidP="007D79DB">
            <w:pPr>
              <w:rPr>
                <w:b/>
              </w:rPr>
            </w:pPr>
          </w:p>
        </w:tc>
      </w:tr>
      <w:tr w:rsidR="007D79DB" w:rsidTr="00300D92">
        <w:trPr>
          <w:trHeight w:val="383"/>
        </w:trPr>
        <w:tc>
          <w:tcPr>
            <w:tcW w:w="5949" w:type="dxa"/>
          </w:tcPr>
          <w:p w:rsidR="007D79DB" w:rsidRDefault="007D79DB" w:rsidP="007D79DB">
            <w:r>
              <w:t>Link with other RIA across the UK to learn from other areas.</w:t>
            </w:r>
          </w:p>
          <w:p w:rsidR="007D79DB" w:rsidRDefault="007D79DB" w:rsidP="007D79DB"/>
        </w:tc>
        <w:tc>
          <w:tcPr>
            <w:tcW w:w="3067" w:type="dxa"/>
          </w:tcPr>
          <w:p w:rsidR="007D79DB" w:rsidRDefault="007D79DB" w:rsidP="007D79DB">
            <w:pPr>
              <w:rPr>
                <w:b/>
              </w:rPr>
            </w:pPr>
          </w:p>
        </w:tc>
      </w:tr>
      <w:tr w:rsidR="007D79DB" w:rsidTr="001852FD">
        <w:tc>
          <w:tcPr>
            <w:tcW w:w="5949" w:type="dxa"/>
          </w:tcPr>
          <w:p w:rsidR="007D79DB" w:rsidRDefault="007D79DB" w:rsidP="007D79DB">
            <w:r>
              <w:t>Organise an event to develop the potential options and agree top priorities.</w:t>
            </w:r>
          </w:p>
          <w:p w:rsidR="00300D92" w:rsidRDefault="00300D92" w:rsidP="007D79DB"/>
        </w:tc>
        <w:tc>
          <w:tcPr>
            <w:tcW w:w="3067" w:type="dxa"/>
          </w:tcPr>
          <w:p w:rsidR="007D79DB" w:rsidRDefault="007D79DB" w:rsidP="007D79DB">
            <w:pPr>
              <w:rPr>
                <w:b/>
              </w:rPr>
            </w:pPr>
          </w:p>
        </w:tc>
      </w:tr>
      <w:tr w:rsidR="007D79DB" w:rsidTr="001852FD">
        <w:tc>
          <w:tcPr>
            <w:tcW w:w="5949" w:type="dxa"/>
          </w:tcPr>
          <w:p w:rsidR="007D79DB" w:rsidRDefault="007D79DB" w:rsidP="007D79DB">
            <w:r>
              <w:t>Scope out business cases and agree 2 / 3 to work on over the next year.</w:t>
            </w:r>
          </w:p>
          <w:p w:rsidR="00300D92" w:rsidRDefault="00300D92" w:rsidP="007D79DB"/>
        </w:tc>
        <w:tc>
          <w:tcPr>
            <w:tcW w:w="3067" w:type="dxa"/>
          </w:tcPr>
          <w:p w:rsidR="007D79DB" w:rsidRDefault="007D79DB" w:rsidP="007D79DB">
            <w:pPr>
              <w:rPr>
                <w:b/>
              </w:rPr>
            </w:pPr>
          </w:p>
        </w:tc>
      </w:tr>
    </w:tbl>
    <w:p w:rsidR="00B52D10" w:rsidRPr="00B52D10" w:rsidRDefault="00B52D10" w:rsidP="00B52D10">
      <w:pPr>
        <w:rPr>
          <w:b/>
        </w:rPr>
      </w:pPr>
    </w:p>
    <w:p w:rsidR="00890E2C" w:rsidRDefault="00890E2C"/>
    <w:p w:rsidR="00CC12E9" w:rsidRDefault="00CC12E9"/>
    <w:sectPr w:rsidR="00CC12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9EC"/>
    <w:multiLevelType w:val="hybridMultilevel"/>
    <w:tmpl w:val="F5820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8038B5"/>
    <w:multiLevelType w:val="multilevel"/>
    <w:tmpl w:val="87EE56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193666"/>
    <w:multiLevelType w:val="hybridMultilevel"/>
    <w:tmpl w:val="48380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A0DF1"/>
    <w:multiLevelType w:val="hybridMultilevel"/>
    <w:tmpl w:val="6F604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6195F"/>
    <w:multiLevelType w:val="hybridMultilevel"/>
    <w:tmpl w:val="34702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45492"/>
    <w:multiLevelType w:val="hybridMultilevel"/>
    <w:tmpl w:val="B10480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B736B"/>
    <w:multiLevelType w:val="hybridMultilevel"/>
    <w:tmpl w:val="322C23DE"/>
    <w:lvl w:ilvl="0" w:tplc="5D248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06BD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2EF7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1A2E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7EDB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84F7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1657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F203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EA42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01"/>
    <w:rsid w:val="000061A9"/>
    <w:rsid w:val="000D55F4"/>
    <w:rsid w:val="000F2B4B"/>
    <w:rsid w:val="001852FD"/>
    <w:rsid w:val="00197501"/>
    <w:rsid w:val="00300D92"/>
    <w:rsid w:val="00372DA1"/>
    <w:rsid w:val="00450BB7"/>
    <w:rsid w:val="004903C8"/>
    <w:rsid w:val="006169DF"/>
    <w:rsid w:val="00794ED1"/>
    <w:rsid w:val="007D79DB"/>
    <w:rsid w:val="00864056"/>
    <w:rsid w:val="00884509"/>
    <w:rsid w:val="00890E2C"/>
    <w:rsid w:val="008F00AB"/>
    <w:rsid w:val="00A557D9"/>
    <w:rsid w:val="00A608DD"/>
    <w:rsid w:val="00B52D10"/>
    <w:rsid w:val="00CC12E9"/>
    <w:rsid w:val="00DB681B"/>
    <w:rsid w:val="00E24532"/>
    <w:rsid w:val="00F5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D9245-8D5E-4DDE-9EC0-ECE905C6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50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501"/>
    <w:pPr>
      <w:ind w:left="720"/>
    </w:pPr>
  </w:style>
  <w:style w:type="table" w:styleId="TableGrid">
    <w:name w:val="Table Grid"/>
    <w:basedOn w:val="TableNormal"/>
    <w:uiPriority w:val="39"/>
    <w:rsid w:val="00006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00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D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D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D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Aldridge</dc:creator>
  <cp:keywords/>
  <dc:description/>
  <cp:lastModifiedBy>Ben Byrne CSF</cp:lastModifiedBy>
  <cp:revision>2</cp:revision>
  <dcterms:created xsi:type="dcterms:W3CDTF">2019-05-10T15:07:00Z</dcterms:created>
  <dcterms:modified xsi:type="dcterms:W3CDTF">2019-05-10T15:07:00Z</dcterms:modified>
</cp:coreProperties>
</file>